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B0C6" w14:textId="31692EF4" w:rsidR="00D31D9E" w:rsidRPr="00A22BAA" w:rsidRDefault="00E40F7E" w:rsidP="00E40F7E">
      <w:pPr>
        <w:spacing w:before="100" w:beforeAutospacing="1" w:after="100" w:afterAutospacing="1"/>
        <w:jc w:val="center"/>
        <w:outlineLvl w:val="1"/>
        <w:rPr>
          <w:rFonts w:ascii="Abadi" w:eastAsia="Times New Roman" w:hAnsi="Abadi" w:cs="Times New Roman"/>
          <w:b/>
          <w:bCs/>
          <w:sz w:val="20"/>
          <w:szCs w:val="20"/>
        </w:rPr>
      </w:pPr>
      <w:r w:rsidRPr="00A22BAA">
        <w:rPr>
          <w:rFonts w:ascii="Abadi" w:eastAsia="Times New Roman" w:hAnsi="Abadi" w:cs="Times New Roman"/>
          <w:b/>
          <w:bCs/>
          <w:sz w:val="20"/>
          <w:szCs w:val="20"/>
        </w:rPr>
        <w:t>Obstetrical Ultrasound Introduction</w:t>
      </w:r>
    </w:p>
    <w:p w14:paraId="5A94A7D8" w14:textId="4243531F" w:rsidR="00D31D9E" w:rsidRPr="00A22BAA" w:rsidRDefault="00D31D9E" w:rsidP="00A22BAA">
      <w:pPr>
        <w:spacing w:before="100" w:beforeAutospacing="1" w:after="100" w:afterAutospacing="1"/>
        <w:rPr>
          <w:rFonts w:ascii="Abadi" w:eastAsia="Times New Roman" w:hAnsi="Abadi" w:cs="Times New Roman"/>
          <w:color w:val="2A2A2A"/>
          <w:sz w:val="20"/>
          <w:szCs w:val="20"/>
        </w:rPr>
      </w:pP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 xml:space="preserve">Medical Aid Films. How to use ultrasound in pregnancy. </w:t>
      </w:r>
      <w:proofErr w:type="spellStart"/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>Marisssa</w:t>
      </w:r>
      <w:proofErr w:type="spellEnd"/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 xml:space="preserve"> Lestrade. </w:t>
      </w:r>
      <w:hyperlink r:id="rId5" w:history="1">
        <w:r w:rsidRPr="00A22BAA">
          <w:rPr>
            <w:rFonts w:ascii="Abadi" w:eastAsia="Times New Roman" w:hAnsi="Abadi" w:cs="Times New Roman"/>
            <w:color w:val="0000FF"/>
            <w:sz w:val="20"/>
            <w:szCs w:val="20"/>
            <w:u w:val="single"/>
          </w:rPr>
          <w:t>https://www.youtube.com/watch?v=EO4jBmQFDOY (2012).</w:t>
        </w:r>
      </w:hyperlink>
    </w:p>
    <w:p w14:paraId="1608FF7C" w14:textId="429E2A93" w:rsidR="00903512" w:rsidRPr="00A22BAA" w:rsidRDefault="00903512" w:rsidP="00903512">
      <w:pPr>
        <w:ind w:left="720"/>
        <w:rPr>
          <w:rFonts w:ascii="Abadi" w:eastAsia="Times New Roman" w:hAnsi="Abadi" w:cs="Times New Roman"/>
          <w:color w:val="2A2A2A"/>
          <w:sz w:val="20"/>
          <w:szCs w:val="20"/>
        </w:rPr>
      </w:pP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>This 12-minute film provides a review of:</w:t>
      </w:r>
    </w:p>
    <w:p w14:paraId="79A23C78" w14:textId="58500993" w:rsidR="00903512" w:rsidRPr="00487844" w:rsidRDefault="00903512" w:rsidP="00903512">
      <w:pPr>
        <w:pStyle w:val="ListParagraph"/>
        <w:numPr>
          <w:ilvl w:val="0"/>
          <w:numId w:val="2"/>
        </w:numPr>
        <w:rPr>
          <w:rFonts w:ascii="Abadi" w:eastAsia="Times New Roman" w:hAnsi="Abadi" w:cs="Times New Roman"/>
          <w:color w:val="2A2A2A"/>
          <w:sz w:val="16"/>
          <w:szCs w:val="16"/>
        </w:rPr>
      </w:pPr>
      <w:r w:rsidRPr="00487844">
        <w:rPr>
          <w:rFonts w:ascii="Abadi" w:eastAsia="Times New Roman" w:hAnsi="Abadi" w:cs="Times New Roman"/>
          <w:color w:val="2A2A2A"/>
          <w:sz w:val="16"/>
          <w:szCs w:val="16"/>
        </w:rPr>
        <w:t>Biomechanics</w:t>
      </w:r>
    </w:p>
    <w:p w14:paraId="118C38E7" w14:textId="6F733685" w:rsidR="00903512" w:rsidRPr="00487844" w:rsidRDefault="00903512" w:rsidP="00903512">
      <w:pPr>
        <w:pStyle w:val="ListParagraph"/>
        <w:numPr>
          <w:ilvl w:val="0"/>
          <w:numId w:val="2"/>
        </w:numPr>
        <w:rPr>
          <w:rFonts w:ascii="Abadi" w:eastAsia="Times New Roman" w:hAnsi="Abadi" w:cs="Times New Roman"/>
          <w:color w:val="2A2A2A"/>
          <w:sz w:val="16"/>
          <w:szCs w:val="16"/>
        </w:rPr>
      </w:pPr>
      <w:r w:rsidRPr="00487844">
        <w:rPr>
          <w:rFonts w:ascii="Abadi" w:eastAsia="Times New Roman" w:hAnsi="Abadi" w:cs="Times New Roman"/>
          <w:color w:val="2A2A2A"/>
          <w:sz w:val="16"/>
          <w:szCs w:val="16"/>
        </w:rPr>
        <w:t>Terminology</w:t>
      </w:r>
    </w:p>
    <w:p w14:paraId="31FF8939" w14:textId="219CEAD9" w:rsidR="00903512" w:rsidRPr="00487844" w:rsidRDefault="00903512" w:rsidP="00903512">
      <w:pPr>
        <w:pStyle w:val="ListParagraph"/>
        <w:numPr>
          <w:ilvl w:val="0"/>
          <w:numId w:val="2"/>
        </w:numPr>
        <w:rPr>
          <w:rFonts w:ascii="Abadi" w:eastAsia="Times New Roman" w:hAnsi="Abadi" w:cs="Times New Roman"/>
          <w:color w:val="2A2A2A"/>
          <w:sz w:val="16"/>
          <w:szCs w:val="16"/>
        </w:rPr>
      </w:pPr>
      <w:r w:rsidRPr="00487844">
        <w:rPr>
          <w:rFonts w:ascii="Abadi" w:eastAsia="Times New Roman" w:hAnsi="Abadi" w:cs="Times New Roman"/>
          <w:color w:val="2A2A2A"/>
          <w:sz w:val="16"/>
          <w:szCs w:val="16"/>
        </w:rPr>
        <w:t>Probe orientation</w:t>
      </w:r>
    </w:p>
    <w:p w14:paraId="1BEA4420" w14:textId="5ABCC756" w:rsidR="00903512" w:rsidRPr="00487844" w:rsidRDefault="00903512" w:rsidP="00903512">
      <w:pPr>
        <w:pStyle w:val="ListParagraph"/>
        <w:numPr>
          <w:ilvl w:val="0"/>
          <w:numId w:val="2"/>
        </w:numPr>
        <w:rPr>
          <w:rFonts w:ascii="Abadi" w:eastAsia="Times New Roman" w:hAnsi="Abadi" w:cs="Times New Roman"/>
          <w:color w:val="2A2A2A"/>
          <w:sz w:val="16"/>
          <w:szCs w:val="16"/>
        </w:rPr>
      </w:pPr>
      <w:r w:rsidRPr="00487844">
        <w:rPr>
          <w:rFonts w:ascii="Abadi" w:eastAsia="Times New Roman" w:hAnsi="Abadi" w:cs="Times New Roman"/>
          <w:color w:val="2A2A2A"/>
          <w:sz w:val="16"/>
          <w:szCs w:val="16"/>
        </w:rPr>
        <w:t>Image interpretation</w:t>
      </w:r>
    </w:p>
    <w:p w14:paraId="17381E1D" w14:textId="6556C28D" w:rsidR="00903512" w:rsidRPr="00487844" w:rsidRDefault="00903512" w:rsidP="00903512">
      <w:pPr>
        <w:pStyle w:val="ListParagraph"/>
        <w:numPr>
          <w:ilvl w:val="1"/>
          <w:numId w:val="2"/>
        </w:numPr>
        <w:rPr>
          <w:rFonts w:ascii="Abadi" w:eastAsia="Times New Roman" w:hAnsi="Abadi" w:cs="Times New Roman"/>
          <w:color w:val="2A2A2A"/>
          <w:sz w:val="16"/>
          <w:szCs w:val="16"/>
        </w:rPr>
      </w:pPr>
      <w:r w:rsidRPr="00487844">
        <w:rPr>
          <w:rFonts w:ascii="Abadi" w:eastAsia="Times New Roman" w:hAnsi="Abadi" w:cs="Times New Roman"/>
          <w:color w:val="2A2A2A"/>
          <w:sz w:val="16"/>
          <w:szCs w:val="16"/>
        </w:rPr>
        <w:t>Presentation</w:t>
      </w:r>
    </w:p>
    <w:p w14:paraId="4C729881" w14:textId="21AD9621" w:rsidR="00903512" w:rsidRPr="00487844" w:rsidRDefault="00903512" w:rsidP="00903512">
      <w:pPr>
        <w:pStyle w:val="ListParagraph"/>
        <w:numPr>
          <w:ilvl w:val="1"/>
          <w:numId w:val="2"/>
        </w:numPr>
        <w:rPr>
          <w:rFonts w:ascii="Abadi" w:eastAsia="Times New Roman" w:hAnsi="Abadi" w:cs="Times New Roman"/>
          <w:color w:val="2A2A2A"/>
          <w:sz w:val="16"/>
          <w:szCs w:val="16"/>
        </w:rPr>
      </w:pPr>
      <w:r w:rsidRPr="00487844">
        <w:rPr>
          <w:rFonts w:ascii="Abadi" w:eastAsia="Times New Roman" w:hAnsi="Abadi" w:cs="Times New Roman"/>
          <w:color w:val="2A2A2A"/>
          <w:sz w:val="16"/>
          <w:szCs w:val="16"/>
        </w:rPr>
        <w:t>Fetal number</w:t>
      </w:r>
    </w:p>
    <w:p w14:paraId="1B652CE8" w14:textId="4E615B93" w:rsidR="00903512" w:rsidRPr="00487844" w:rsidRDefault="00903512" w:rsidP="00903512">
      <w:pPr>
        <w:pStyle w:val="ListParagraph"/>
        <w:numPr>
          <w:ilvl w:val="1"/>
          <w:numId w:val="2"/>
        </w:numPr>
        <w:rPr>
          <w:rFonts w:ascii="Abadi" w:eastAsia="Times New Roman" w:hAnsi="Abadi" w:cs="Times New Roman"/>
          <w:color w:val="2A2A2A"/>
          <w:sz w:val="16"/>
          <w:szCs w:val="16"/>
        </w:rPr>
      </w:pPr>
      <w:r w:rsidRPr="00487844">
        <w:rPr>
          <w:rFonts w:ascii="Abadi" w:eastAsia="Times New Roman" w:hAnsi="Abadi" w:cs="Times New Roman"/>
          <w:color w:val="2A2A2A"/>
          <w:sz w:val="16"/>
          <w:szCs w:val="16"/>
        </w:rPr>
        <w:t>Placenta</w:t>
      </w:r>
    </w:p>
    <w:p w14:paraId="0802EAA0" w14:textId="6E5C35C2" w:rsidR="00903512" w:rsidRPr="00487844" w:rsidRDefault="00903512" w:rsidP="00903512">
      <w:pPr>
        <w:pStyle w:val="ListParagraph"/>
        <w:numPr>
          <w:ilvl w:val="1"/>
          <w:numId w:val="2"/>
        </w:numPr>
        <w:rPr>
          <w:rFonts w:ascii="Abadi" w:eastAsia="Times New Roman" w:hAnsi="Abadi" w:cs="Times New Roman"/>
          <w:color w:val="2A2A2A"/>
          <w:sz w:val="16"/>
          <w:szCs w:val="16"/>
        </w:rPr>
      </w:pPr>
      <w:r w:rsidRPr="00487844">
        <w:rPr>
          <w:rFonts w:ascii="Abadi" w:eastAsia="Times New Roman" w:hAnsi="Abadi" w:cs="Times New Roman"/>
          <w:color w:val="2A2A2A"/>
          <w:sz w:val="16"/>
          <w:szCs w:val="16"/>
        </w:rPr>
        <w:t>Fibroids</w:t>
      </w:r>
    </w:p>
    <w:p w14:paraId="2A8FC013" w14:textId="2BD8A281" w:rsidR="00D31D9E" w:rsidRPr="00A22BAA" w:rsidRDefault="00D31D9E" w:rsidP="00A22BAA">
      <w:pPr>
        <w:spacing w:before="100" w:beforeAutospacing="1" w:after="100" w:afterAutospacing="1"/>
        <w:rPr>
          <w:rFonts w:ascii="Abadi" w:eastAsia="Times New Roman" w:hAnsi="Abadi" w:cs="Times New Roman"/>
          <w:color w:val="2A2A2A"/>
          <w:sz w:val="20"/>
          <w:szCs w:val="20"/>
        </w:rPr>
      </w:pP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>STFM. Family Medicine Residency Curriculum. Point of Care Ultrasound for Primary Care</w:t>
      </w: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br/>
        <w:t>Part 3 Obstetrics Curriculum. Scanning for Amniotic Fluid Volume.</w:t>
      </w: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br/>
      </w:r>
      <w:hyperlink r:id="rId6" w:history="1">
        <w:r w:rsidRPr="00A22BAA">
          <w:rPr>
            <w:rFonts w:ascii="Abadi" w:eastAsia="Times New Roman" w:hAnsi="Abadi" w:cs="Times New Roman"/>
            <w:color w:val="0000FF"/>
            <w:sz w:val="20"/>
            <w:szCs w:val="20"/>
            <w:u w:val="single"/>
          </w:rPr>
          <w:t>https://www.youtube.com/watch?v=xh_cZP6jyEA (2013)</w:t>
        </w:r>
      </w:hyperlink>
    </w:p>
    <w:p w14:paraId="20B47164" w14:textId="77777777" w:rsidR="00E40F7E" w:rsidRPr="00A22BAA" w:rsidRDefault="00E40F7E" w:rsidP="00E40F7E">
      <w:pPr>
        <w:ind w:left="720"/>
        <w:rPr>
          <w:rFonts w:ascii="Abadi" w:eastAsia="Times New Roman" w:hAnsi="Abadi" w:cs="Times New Roman"/>
          <w:color w:val="2A2A2A"/>
          <w:sz w:val="20"/>
          <w:szCs w:val="20"/>
        </w:rPr>
      </w:pP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>13-minute</w:t>
      </w:r>
      <w:r w:rsidR="00903512" w:rsidRPr="00A22BAA">
        <w:rPr>
          <w:rFonts w:ascii="Abadi" w:eastAsia="Times New Roman" w:hAnsi="Abadi" w:cs="Times New Roman"/>
          <w:color w:val="2A2A2A"/>
          <w:sz w:val="20"/>
          <w:szCs w:val="20"/>
        </w:rPr>
        <w:t xml:space="preserve"> video from the Family Medicine Residency Curriculum Resource. </w:t>
      </w:r>
    </w:p>
    <w:p w14:paraId="79D365C8" w14:textId="16AA5CBD" w:rsidR="00E40F7E" w:rsidRPr="00487844" w:rsidRDefault="00E40F7E" w:rsidP="00E40F7E">
      <w:pPr>
        <w:pStyle w:val="ListParagraph"/>
        <w:numPr>
          <w:ilvl w:val="0"/>
          <w:numId w:val="4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Introduction </w:t>
      </w:r>
    </w:p>
    <w:p w14:paraId="49FA1FD4" w14:textId="77777777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Learning objectives </w:t>
      </w:r>
    </w:p>
    <w:p w14:paraId="5AA66FA1" w14:textId="77777777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>Role of Amniotic Fluid</w:t>
      </w:r>
    </w:p>
    <w:p w14:paraId="25442A78" w14:textId="77777777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>Amniotic Fluid Volume</w:t>
      </w:r>
    </w:p>
    <w:p w14:paraId="6C44153D" w14:textId="77777777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Role for Family Physicians </w:t>
      </w:r>
    </w:p>
    <w:p w14:paraId="69811600" w14:textId="77777777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Methods to Determine Volume </w:t>
      </w:r>
    </w:p>
    <w:p w14:paraId="565E4D93" w14:textId="77777777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Practical considerations </w:t>
      </w:r>
    </w:p>
    <w:p w14:paraId="2A3A5929" w14:textId="1B7B36D0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Amniotic Fluid Index/Interpretation of AFI result </w:t>
      </w:r>
    </w:p>
    <w:p w14:paraId="76C02A45" w14:textId="77777777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Single Deepest Pocket/Interpretation of SDP </w:t>
      </w:r>
    </w:p>
    <w:p w14:paraId="4F5C974A" w14:textId="06BC095F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Case 1 </w:t>
      </w:r>
    </w:p>
    <w:p w14:paraId="36DF2C90" w14:textId="50C27703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Modified BPP </w:t>
      </w:r>
    </w:p>
    <w:p w14:paraId="3BDCD33D" w14:textId="43DCC13D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>Case 2</w:t>
      </w:r>
    </w:p>
    <w:p w14:paraId="046B463A" w14:textId="7D7CE7FD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hAnsi="Abadi" w:cs="Arial"/>
          <w:color w:val="0D0D0D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Monitoring </w:t>
      </w:r>
      <w:proofErr w:type="spellStart"/>
      <w:r w:rsidRPr="00487844">
        <w:rPr>
          <w:rFonts w:ascii="Abadi" w:hAnsi="Abadi" w:cs="Arial"/>
          <w:color w:val="0D0D0D"/>
          <w:sz w:val="16"/>
          <w:szCs w:val="16"/>
        </w:rPr>
        <w:t>Postterm</w:t>
      </w:r>
      <w:proofErr w:type="spellEnd"/>
      <w:r w:rsidRPr="00487844">
        <w:rPr>
          <w:rFonts w:ascii="Abadi" w:hAnsi="Abadi" w:cs="Arial"/>
          <w:color w:val="0D0D0D"/>
          <w:sz w:val="16"/>
          <w:szCs w:val="16"/>
        </w:rPr>
        <w:t xml:space="preserve"> pregnancies </w:t>
      </w:r>
    </w:p>
    <w:p w14:paraId="6728977E" w14:textId="4B0470E1" w:rsidR="00E40F7E" w:rsidRPr="00487844" w:rsidRDefault="00E40F7E" w:rsidP="00E40F7E">
      <w:pPr>
        <w:pStyle w:val="ListParagraph"/>
        <w:numPr>
          <w:ilvl w:val="0"/>
          <w:numId w:val="3"/>
        </w:numPr>
        <w:rPr>
          <w:rFonts w:ascii="Abadi" w:eastAsia="Times New Roman" w:hAnsi="Abadi" w:cs="Times New Roman"/>
          <w:color w:val="2A2A2A"/>
          <w:sz w:val="16"/>
          <w:szCs w:val="16"/>
        </w:rPr>
      </w:pPr>
      <w:r w:rsidRPr="00487844">
        <w:rPr>
          <w:rFonts w:ascii="Abadi" w:hAnsi="Abadi" w:cs="Arial"/>
          <w:color w:val="0D0D0D"/>
          <w:sz w:val="16"/>
          <w:szCs w:val="16"/>
        </w:rPr>
        <w:t xml:space="preserve">Summary </w:t>
      </w:r>
    </w:p>
    <w:p w14:paraId="77C24E88" w14:textId="191FFE37" w:rsidR="00A22BAA" w:rsidRPr="00A22BAA" w:rsidRDefault="00D31D9E" w:rsidP="00E40F7E">
      <w:pPr>
        <w:ind w:left="720"/>
        <w:contextualSpacing/>
        <w:rPr>
          <w:rFonts w:ascii="Abadi" w:eastAsia="Times New Roman" w:hAnsi="Abadi" w:cs="Times New Roman"/>
          <w:color w:val="2A2A2A"/>
          <w:sz w:val="20"/>
          <w:szCs w:val="20"/>
        </w:rPr>
      </w:pP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 xml:space="preserve"> </w:t>
      </w:r>
    </w:p>
    <w:p w14:paraId="39DC1452" w14:textId="30DF0B53" w:rsidR="00E40F7E" w:rsidRPr="00A22BAA" w:rsidRDefault="00D31D9E" w:rsidP="00A22BAA">
      <w:pPr>
        <w:contextualSpacing/>
        <w:rPr>
          <w:rFonts w:ascii="Abadi" w:eastAsia="Times New Roman" w:hAnsi="Abadi" w:cs="Times New Roman"/>
          <w:color w:val="2A2A2A"/>
          <w:sz w:val="20"/>
          <w:szCs w:val="20"/>
        </w:rPr>
      </w:pP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 xml:space="preserve">Mint Medical. MME TV: How do I get an AFI? </w:t>
      </w:r>
    </w:p>
    <w:p w14:paraId="0FDB3537" w14:textId="6F2BDBF2" w:rsidR="00D31D9E" w:rsidRPr="00A22BAA" w:rsidRDefault="00294B3B" w:rsidP="00A22BAA">
      <w:pPr>
        <w:contextualSpacing/>
        <w:rPr>
          <w:rFonts w:ascii="Abadi" w:eastAsia="Times New Roman" w:hAnsi="Abadi" w:cs="Times New Roman"/>
          <w:color w:val="0000FF"/>
          <w:sz w:val="20"/>
          <w:szCs w:val="20"/>
          <w:u w:val="single"/>
        </w:rPr>
      </w:pPr>
      <w:hyperlink r:id="rId7" w:history="1">
        <w:r w:rsidR="00A22BAA" w:rsidRPr="00A22BAA">
          <w:rPr>
            <w:rStyle w:val="Hyperlink"/>
            <w:rFonts w:ascii="Abadi" w:eastAsia="Times New Roman" w:hAnsi="Abadi" w:cs="Times New Roman"/>
            <w:sz w:val="20"/>
            <w:szCs w:val="20"/>
          </w:rPr>
          <w:t>https://www.youtube.com/watch?v=FHCeerVhMDU (2013)</w:t>
        </w:r>
      </w:hyperlink>
    </w:p>
    <w:p w14:paraId="65343862" w14:textId="1F64051C" w:rsidR="00E40F7E" w:rsidRPr="00A22BAA" w:rsidRDefault="00E40F7E" w:rsidP="00E40F7E">
      <w:pPr>
        <w:ind w:left="720"/>
        <w:contextualSpacing/>
        <w:rPr>
          <w:rFonts w:ascii="Abadi" w:eastAsia="Times New Roman" w:hAnsi="Abadi" w:cs="Times New Roman"/>
          <w:color w:val="0000FF"/>
          <w:sz w:val="20"/>
          <w:szCs w:val="20"/>
          <w:u w:val="single"/>
        </w:rPr>
      </w:pPr>
    </w:p>
    <w:p w14:paraId="5B24C02A" w14:textId="64B570F5" w:rsidR="00E40F7E" w:rsidRPr="00A22BAA" w:rsidRDefault="00E40F7E" w:rsidP="00E40F7E">
      <w:pPr>
        <w:ind w:left="720"/>
        <w:contextualSpacing/>
        <w:rPr>
          <w:rFonts w:ascii="Abadi" w:eastAsia="Times New Roman" w:hAnsi="Abadi" w:cs="Times New Roman"/>
          <w:color w:val="2A2A2A"/>
          <w:sz w:val="20"/>
          <w:szCs w:val="20"/>
        </w:rPr>
      </w:pP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>This is a 5-minute, live action</w:t>
      </w:r>
      <w:r w:rsidR="006E7EFA" w:rsidRPr="00A22BAA">
        <w:rPr>
          <w:rFonts w:ascii="Abadi" w:eastAsia="Times New Roman" w:hAnsi="Abadi" w:cs="Times New Roman"/>
          <w:color w:val="2A2A2A"/>
          <w:sz w:val="20"/>
          <w:szCs w:val="20"/>
        </w:rPr>
        <w:t xml:space="preserve"> AFI measurement with a real patient</w:t>
      </w:r>
    </w:p>
    <w:p w14:paraId="72621A35" w14:textId="77777777" w:rsidR="006E7EFA" w:rsidRPr="00A22BAA" w:rsidRDefault="006E7EFA" w:rsidP="00E40F7E">
      <w:pPr>
        <w:ind w:left="720"/>
        <w:contextualSpacing/>
        <w:rPr>
          <w:rFonts w:ascii="Abadi" w:eastAsia="Times New Roman" w:hAnsi="Abadi" w:cs="Times New Roman"/>
          <w:color w:val="2A2A2A"/>
          <w:sz w:val="20"/>
          <w:szCs w:val="20"/>
        </w:rPr>
      </w:pPr>
    </w:p>
    <w:p w14:paraId="6424A880" w14:textId="00A1CB7A" w:rsidR="00D31D9E" w:rsidRPr="00A22BAA" w:rsidRDefault="00D31D9E" w:rsidP="00A22BAA">
      <w:pPr>
        <w:contextualSpacing/>
        <w:rPr>
          <w:rFonts w:ascii="Abadi" w:eastAsia="Times New Roman" w:hAnsi="Abadi" w:cs="Times New Roman"/>
          <w:color w:val="2A2A2A"/>
          <w:sz w:val="20"/>
          <w:szCs w:val="20"/>
        </w:rPr>
      </w:pP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 xml:space="preserve">Simple Science Answers. Biophysical Profile Made Simple. </w:t>
      </w:r>
      <w:hyperlink r:id="rId8" w:history="1">
        <w:r w:rsidRPr="00A22BAA">
          <w:rPr>
            <w:rFonts w:ascii="Abadi" w:eastAsia="Times New Roman" w:hAnsi="Abadi" w:cs="Times New Roman"/>
            <w:color w:val="0000FF"/>
            <w:sz w:val="20"/>
            <w:szCs w:val="20"/>
            <w:u w:val="single"/>
          </w:rPr>
          <w:t>https://www.youtube.com/watch?v=EVw41-GkmSE (2013?)</w:t>
        </w:r>
      </w:hyperlink>
    </w:p>
    <w:p w14:paraId="30D4E486" w14:textId="69C8D27B" w:rsidR="006E7EFA" w:rsidRPr="00A22BAA" w:rsidRDefault="00D31D9E" w:rsidP="00E40F7E">
      <w:pPr>
        <w:ind w:left="720"/>
        <w:contextualSpacing/>
        <w:rPr>
          <w:rFonts w:ascii="Abadi" w:eastAsia="Times New Roman" w:hAnsi="Abadi" w:cs="Times New Roman"/>
          <w:color w:val="2A2A2A"/>
          <w:sz w:val="20"/>
          <w:szCs w:val="20"/>
        </w:rPr>
      </w:pP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br/>
      </w:r>
      <w:r w:rsidR="006E7EFA" w:rsidRPr="00A22BAA">
        <w:rPr>
          <w:rFonts w:ascii="Abadi" w:eastAsia="Times New Roman" w:hAnsi="Abadi" w:cs="Times New Roman"/>
          <w:color w:val="2A2A2A"/>
          <w:sz w:val="20"/>
          <w:szCs w:val="20"/>
        </w:rPr>
        <w:t>5-minute video reviewing the basics of BPP.</w:t>
      </w:r>
      <w:r w:rsidRPr="00A22BAA">
        <w:rPr>
          <w:rFonts w:ascii="Abadi" w:eastAsia="Times New Roman" w:hAnsi="Abadi" w:cs="Times New Roman"/>
          <w:color w:val="2A2A2A"/>
          <w:sz w:val="20"/>
          <w:szCs w:val="20"/>
        </w:rPr>
        <w:t xml:space="preserve">  </w:t>
      </w:r>
    </w:p>
    <w:p w14:paraId="6AE8900B" w14:textId="60ACBE6B" w:rsidR="00A22BAA" w:rsidRPr="004947B2" w:rsidRDefault="00A22BAA" w:rsidP="00E40F7E">
      <w:pPr>
        <w:contextualSpacing/>
        <w:rPr>
          <w:rFonts w:ascii="Abadi" w:hAnsi="Abadi"/>
          <w:sz w:val="20"/>
          <w:szCs w:val="20"/>
          <w:highlight w:val="yellow"/>
        </w:rPr>
      </w:pPr>
    </w:p>
    <w:p w14:paraId="39673CCC" w14:textId="098DC387" w:rsidR="004947B2" w:rsidRDefault="004947B2" w:rsidP="00E40F7E">
      <w:pPr>
        <w:contextualSpacing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Fetal Biometry by Angela Diehl, 2012</w:t>
      </w:r>
    </w:p>
    <w:p w14:paraId="3DADB8A8" w14:textId="72880C88" w:rsidR="004947B2" w:rsidRDefault="00294B3B" w:rsidP="00E40F7E">
      <w:pPr>
        <w:contextualSpacing/>
        <w:rPr>
          <w:rFonts w:ascii="Abadi" w:hAnsi="Abadi"/>
          <w:sz w:val="20"/>
          <w:szCs w:val="20"/>
        </w:rPr>
      </w:pPr>
      <w:hyperlink r:id="rId9" w:history="1">
        <w:r w:rsidR="004947B2" w:rsidRPr="004D2461">
          <w:rPr>
            <w:rStyle w:val="Hyperlink"/>
            <w:rFonts w:ascii="Abadi" w:hAnsi="Abadi"/>
            <w:sz w:val="20"/>
            <w:szCs w:val="20"/>
          </w:rPr>
          <w:t>https://www.youtube.com/watch?v=4NTpk9k2Gm4</w:t>
        </w:r>
      </w:hyperlink>
    </w:p>
    <w:p w14:paraId="5EC56B3D" w14:textId="1E92B530" w:rsidR="004947B2" w:rsidRDefault="004947B2" w:rsidP="00E40F7E">
      <w:pPr>
        <w:contextualSpacing/>
        <w:rPr>
          <w:rFonts w:ascii="Abadi" w:hAnsi="Abadi"/>
          <w:sz w:val="20"/>
          <w:szCs w:val="20"/>
        </w:rPr>
      </w:pPr>
    </w:p>
    <w:p w14:paraId="7D3DAD2E" w14:textId="13BBF148" w:rsidR="004947B2" w:rsidRDefault="004947B2" w:rsidP="004947B2">
      <w:pPr>
        <w:ind w:firstLine="720"/>
        <w:contextualSpacing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Excellent 5-minute review</w:t>
      </w:r>
    </w:p>
    <w:p w14:paraId="2C24229C" w14:textId="77777777" w:rsidR="004947B2" w:rsidRPr="00A22BAA" w:rsidRDefault="004947B2" w:rsidP="00E40F7E">
      <w:pPr>
        <w:contextualSpacing/>
        <w:rPr>
          <w:rFonts w:ascii="Abadi" w:hAnsi="Abadi"/>
          <w:sz w:val="20"/>
          <w:szCs w:val="20"/>
        </w:rPr>
      </w:pPr>
    </w:p>
    <w:p w14:paraId="2C6A3181" w14:textId="5F1BA2D9" w:rsidR="00A22BAA" w:rsidRPr="00A22BAA" w:rsidRDefault="00A22BAA" w:rsidP="00E40F7E">
      <w:pPr>
        <w:contextualSpacing/>
        <w:rPr>
          <w:rFonts w:ascii="Abadi" w:hAnsi="Abadi"/>
          <w:sz w:val="20"/>
          <w:szCs w:val="20"/>
        </w:rPr>
      </w:pPr>
      <w:r w:rsidRPr="00A22BAA">
        <w:rPr>
          <w:rFonts w:ascii="Abadi" w:hAnsi="Abadi"/>
          <w:sz w:val="20"/>
          <w:szCs w:val="20"/>
        </w:rPr>
        <w:t>Created 8/12/16 by Rebecca Williams, MD Revised 7/19/19</w:t>
      </w:r>
    </w:p>
    <w:sectPr w:rsidR="00A22BAA" w:rsidRPr="00A2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28F"/>
    <w:multiLevelType w:val="hybridMultilevel"/>
    <w:tmpl w:val="CAB8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523CB"/>
    <w:multiLevelType w:val="hybridMultilevel"/>
    <w:tmpl w:val="DAD82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86C52"/>
    <w:multiLevelType w:val="multilevel"/>
    <w:tmpl w:val="BEF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62C16"/>
    <w:multiLevelType w:val="hybridMultilevel"/>
    <w:tmpl w:val="0D443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E"/>
    <w:rsid w:val="000C1BB9"/>
    <w:rsid w:val="00294B3B"/>
    <w:rsid w:val="00487844"/>
    <w:rsid w:val="004947B2"/>
    <w:rsid w:val="00607ACD"/>
    <w:rsid w:val="0061134C"/>
    <w:rsid w:val="006E7EFA"/>
    <w:rsid w:val="008365FF"/>
    <w:rsid w:val="00903512"/>
    <w:rsid w:val="00A22BAA"/>
    <w:rsid w:val="00C700F3"/>
    <w:rsid w:val="00D31D9E"/>
    <w:rsid w:val="00E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7FEC"/>
  <w15:chartTrackingRefBased/>
  <w15:docId w15:val="{C5B9364D-F3EE-488A-93E6-8F65AA0E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1D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w41-Gkm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HCeerVhMDU%20(201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h_cZP6jy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O4jBmQFDO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NTpk9k2G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williams</dc:creator>
  <cp:keywords/>
  <dc:description/>
  <cp:lastModifiedBy>Rebecca Williams</cp:lastModifiedBy>
  <cp:revision>2</cp:revision>
  <dcterms:created xsi:type="dcterms:W3CDTF">2021-08-26T22:01:00Z</dcterms:created>
  <dcterms:modified xsi:type="dcterms:W3CDTF">2021-08-26T22:01:00Z</dcterms:modified>
</cp:coreProperties>
</file>